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00B6B" w:rsidRPr="00C00B6B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0B6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766EE" w:rsidRPr="00C00B6B" w:rsidRDefault="008766EE" w:rsidP="00EE65C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00B6B">
              <w:rPr>
                <w:rFonts w:ascii="Arial" w:hAnsi="Arial" w:cs="Arial"/>
                <w:b/>
                <w:sz w:val="20"/>
                <w:szCs w:val="20"/>
              </w:rPr>
              <w:t>Financijske institucije i tržišta</w:t>
            </w:r>
          </w:p>
        </w:tc>
      </w:tr>
      <w:tr w:rsidR="00C00B6B" w:rsidRPr="00C00B6B" w:rsidTr="00EE65C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C00B6B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bCs/>
                <w:sz w:val="20"/>
                <w:szCs w:val="20"/>
              </w:rPr>
              <w:t>EUA201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935F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C00B6B" w:rsidRPr="00C00B6B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Prof. dr. sc. Marijana Ćurak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935F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00B6B" w:rsidRPr="00C00B6B" w:rsidTr="00EE65C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604D0F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Dujam Kovač, mag. oec.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66EE" w:rsidRPr="00C00B6B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66EE" w:rsidRPr="00C00B6B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66EE" w:rsidRPr="00C00B6B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00B6B" w:rsidRPr="00C00B6B" w:rsidTr="00EE65C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66EE" w:rsidRPr="00C00B6B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66EE" w:rsidRPr="00C00B6B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66EE" w:rsidRPr="00C00B6B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B6B" w:rsidRPr="00C00B6B" w:rsidTr="00FA799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9F0E79" w:rsidP="00FA79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5C2D">
              <w:rPr>
                <w:rFonts w:ascii="Arial" w:hAnsi="Arial" w:cs="Arial"/>
                <w:color w:val="FF0000"/>
                <w:sz w:val="20"/>
                <w:szCs w:val="20"/>
              </w:rPr>
              <w:t>15</w:t>
            </w:r>
            <w:r w:rsidR="00FA799F" w:rsidRPr="00EF5C2D">
              <w:rPr>
                <w:rFonts w:ascii="Arial" w:hAnsi="Arial" w:cs="Arial"/>
                <w:color w:val="FF0000"/>
                <w:sz w:val="20"/>
                <w:szCs w:val="20"/>
              </w:rPr>
              <w:t>%</w:t>
            </w:r>
          </w:p>
        </w:tc>
      </w:tr>
      <w:tr w:rsidR="00C00B6B" w:rsidRPr="00C00B6B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0B6B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00B6B" w:rsidRPr="00C00B6B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Pružiti znanja koja će omogućiti analiziranje strukturnih i funkcionalnih aspekata kreditnih institucija, institucionalnih investitora i drugih financijskih institucija te novčanih tržišta, tržišta kapitala, tržišta financijskih izvedenica i deviznih tržišta, kao i identificirati razloge i učinke regulacije financijskog sustava.</w:t>
            </w:r>
          </w:p>
        </w:tc>
      </w:tr>
      <w:tr w:rsidR="00C00B6B" w:rsidRPr="00C00B6B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B6A2F" w:rsidRDefault="005B6A2F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766EE" w:rsidRPr="00C00B6B" w:rsidRDefault="008766EE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B6B" w:rsidRPr="00C00B6B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A810A5" w:rsidRPr="00C00B6B" w:rsidRDefault="00A810A5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766EE" w:rsidRPr="00C00B6B" w:rsidRDefault="008766EE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Kritički analizirati strukturne i funkcionalne sadržaje financijskih institucija i financijskih tržišta te funkcioniranje financijskih institucija i tržišta u Republici Hrvatskoj i identificirati razloge i učinke financijske regulacije.</w:t>
            </w:r>
          </w:p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8766EE" w:rsidRPr="00C00B6B" w:rsidRDefault="00604D0F" w:rsidP="00604D0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Analizirati izvore i upotrebe financijskih resursa, njihove determinante i učinke financijskih institucija i tržišta na troškove transfera sredstava</w:t>
            </w:r>
            <w:r w:rsidR="008766EE" w:rsidRPr="00C00B6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766EE" w:rsidRPr="00C00B6B" w:rsidRDefault="000D188B" w:rsidP="00FB4E75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Ispitati</w:t>
            </w:r>
            <w:r w:rsidR="00FB4E75" w:rsidRPr="00C00B6B">
              <w:rPr>
                <w:rFonts w:ascii="Arial" w:hAnsi="Arial" w:cs="Arial"/>
                <w:sz w:val="20"/>
                <w:szCs w:val="20"/>
              </w:rPr>
              <w:t xml:space="preserve"> značenje i funkcije središnjih banaka i kreditnih institucija</w:t>
            </w:r>
            <w:r w:rsidR="008766EE" w:rsidRPr="00C00B6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766EE" w:rsidRPr="00C00B6B" w:rsidRDefault="002859A7" w:rsidP="002859A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Analizirati uloge institucionalnih investitora</w:t>
            </w:r>
            <w:r w:rsidR="008766EE" w:rsidRPr="00C00B6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766EE" w:rsidRPr="00C00B6B" w:rsidRDefault="00E57C15" w:rsidP="002859A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Razlikovati</w:t>
            </w:r>
            <w:r w:rsidR="002859A7" w:rsidRPr="00C00B6B">
              <w:rPr>
                <w:rFonts w:ascii="Arial" w:hAnsi="Arial" w:cs="Arial"/>
                <w:sz w:val="20"/>
                <w:szCs w:val="20"/>
              </w:rPr>
              <w:t xml:space="preserve"> instrumente i mehanizme trgovanja na financijskim tržištima.</w:t>
            </w:r>
          </w:p>
          <w:p w:rsidR="00002527" w:rsidRPr="00C00B6B" w:rsidRDefault="00002527" w:rsidP="0000252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Analizirati funkcioniranje financijskih institucija i tržišta u Republici </w:t>
            </w:r>
          </w:p>
          <w:p w:rsidR="002859A7" w:rsidRPr="00C00B6B" w:rsidRDefault="00002527" w:rsidP="0000252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Hrvatskoj.</w:t>
            </w:r>
          </w:p>
        </w:tc>
      </w:tr>
      <w:tr w:rsidR="00C00B6B" w:rsidRPr="00C00B6B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C00B6B" w:rsidRPr="00C00B6B" w:rsidTr="00C00B6B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C00B6B" w:rsidRPr="00C00B6B" w:rsidTr="00C00B6B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Financijski sustav: struktura,</w:t>
                  </w:r>
                </w:p>
                <w:p w:rsidR="008766EE" w:rsidRPr="00C00B6B" w:rsidRDefault="008766EE" w:rsidP="0066097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bankovno-orijentirani i tržišno-orijentirani</w:t>
                  </w:r>
                  <w:r w:rsidR="0066097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sustavi, funkcije.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Analiza</w:t>
                  </w:r>
                  <w:bookmarkStart w:id="0" w:name="_GoBack"/>
                  <w:bookmarkEnd w:id="0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 financijskog sustava.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Štednja, deficiti i kapital.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6A467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Kamatne stope - rizična i ročna struktura kamatnih stopa.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Računi kapitala i financijska poravnavanja.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Odrednice štednje – empirijska istraživanja.</w:t>
                  </w:r>
                </w:p>
                <w:p w:rsidR="00E36D32" w:rsidRPr="00C00B6B" w:rsidRDefault="00E36D32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A587E" w:rsidRPr="00C00B6B" w:rsidRDefault="007A587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Kahoot</w:t>
                  </w:r>
                  <w:proofErr w:type="spellEnd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 kvizovi i/ili pitanja za diskusiju – pitanja u području izvora i upotrebe financijskih resursa i njihovih determinanti.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Financiranje: izravno i neizravno financiranje.</w:t>
                  </w:r>
                </w:p>
                <w:p w:rsidR="00FB04A6" w:rsidRDefault="00FB04A6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B04A6" w:rsidRPr="00C00B6B" w:rsidRDefault="00FB04A6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B04A6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Alternativni oblici financiranja.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Pokazatelji financijskog posredništva.</w:t>
                  </w:r>
                </w:p>
                <w:p w:rsidR="006210B1" w:rsidRPr="00C00B6B" w:rsidRDefault="006210B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210B1" w:rsidRPr="00C00B6B" w:rsidRDefault="006210B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Kahoot</w:t>
                  </w:r>
                  <w:proofErr w:type="spellEnd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 kvizovi i/ili pitanja za diskusiju – pitanja u vezi financiranja gospodarstva.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EC2662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Značenje financijskih institucija</w:t>
                  </w:r>
                  <w:r w:rsidR="008766EE" w:rsidRPr="00C00B6B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transakcijski troškovi, asimetrija</w:t>
                  </w:r>
                </w:p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informacija.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F12D8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Financijske institucije i gospodarski rast.</w:t>
                  </w:r>
                </w:p>
                <w:p w:rsidR="006210B1" w:rsidRPr="00C00B6B" w:rsidRDefault="006210B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C2662" w:rsidRPr="00C00B6B" w:rsidRDefault="006210B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Kahoot</w:t>
                  </w:r>
                  <w:proofErr w:type="spellEnd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 kvizovi i/ili pitanja za diskusiju – pitanja u vezi uloge financijskih institucija u gospodarstvu.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Središnja banka u financijskom</w:t>
                  </w:r>
                </w:p>
                <w:p w:rsidR="008766EE" w:rsidRPr="00C00B6B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sustavu: položaj i funkcije.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Hrvatska narodna banka: položaj i</w:t>
                  </w:r>
                  <w:r w:rsidR="00196372"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ustrojstvo, funkcije, bilanca.</w:t>
                  </w:r>
                </w:p>
                <w:p w:rsidR="00E36D32" w:rsidRPr="00C00B6B" w:rsidRDefault="00E36D32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196372" w:rsidRPr="00C00B6B" w:rsidRDefault="00124C36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5C2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Studije slučaja</w:t>
                  </w:r>
                  <w:r w:rsidR="00EF5C2D" w:rsidRPr="00EF5C2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Kreditne institucije I: banke.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6D73C6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73C6">
                    <w:rPr>
                      <w:rFonts w:ascii="Arial" w:hAnsi="Arial" w:cs="Arial"/>
                      <w:sz w:val="20"/>
                      <w:szCs w:val="20"/>
                    </w:rPr>
                    <w:t>Bankovni sustav u Republici</w:t>
                  </w:r>
                </w:p>
                <w:p w:rsidR="008766EE" w:rsidRPr="006D73C6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73C6">
                    <w:rPr>
                      <w:rFonts w:ascii="Arial" w:hAnsi="Arial" w:cs="Arial"/>
                      <w:sz w:val="20"/>
                      <w:szCs w:val="20"/>
                    </w:rPr>
                    <w:t>Hrvatskoj: zakonodavni okvir,</w:t>
                  </w:r>
                </w:p>
                <w:p w:rsidR="008766EE" w:rsidRPr="006D73C6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73C6">
                    <w:rPr>
                      <w:rFonts w:ascii="Arial" w:hAnsi="Arial" w:cs="Arial"/>
                      <w:sz w:val="20"/>
                      <w:szCs w:val="20"/>
                    </w:rPr>
                    <w:t>struktura i aktivnosti.</w:t>
                  </w:r>
                </w:p>
                <w:p w:rsidR="00730AEA" w:rsidRPr="006D73C6" w:rsidRDefault="00730AEA" w:rsidP="00730A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30AEA" w:rsidRPr="00C00B6B" w:rsidRDefault="00E01F16" w:rsidP="00730A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73C6">
                    <w:rPr>
                      <w:rFonts w:ascii="Arial" w:hAnsi="Arial" w:cs="Arial"/>
                      <w:sz w:val="20"/>
                      <w:szCs w:val="20"/>
                    </w:rPr>
                    <w:t>Zadaci</w:t>
                  </w:r>
                  <w:r w:rsidR="00730AEA" w:rsidRPr="006D73C6">
                    <w:rPr>
                      <w:rFonts w:ascii="Arial" w:hAnsi="Arial" w:cs="Arial"/>
                      <w:sz w:val="20"/>
                      <w:szCs w:val="20"/>
                    </w:rPr>
                    <w:t xml:space="preserve"> u području funkcioniranja i performansi banaka.</w:t>
                  </w:r>
                </w:p>
                <w:p w:rsidR="002B304F" w:rsidRDefault="002B304F" w:rsidP="00730A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D73C6" w:rsidRPr="006D73C6" w:rsidRDefault="006D73C6" w:rsidP="00730AE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EF5C2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Gostovanje stručnjaka iz prakse.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Kreditne institucije II: štedne banke. Kreditne zadruge.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Default="004D55D2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EF5C2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</w:t>
                  </w:r>
                  <w:r w:rsidR="008766EE" w:rsidRPr="00EF5C2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tambene štedionice i kreditne unije u Republici Hrvatskoj.</w:t>
                  </w:r>
                </w:p>
                <w:p w:rsidR="004D55D2" w:rsidRDefault="004D55D2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4D55D2" w:rsidRPr="00C00B6B" w:rsidRDefault="004D55D2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EF5C2D">
                    <w:rPr>
                      <w:rFonts w:ascii="Arial" w:hAnsi="Arial" w:cs="Arial"/>
                      <w:sz w:val="20"/>
                      <w:szCs w:val="20"/>
                    </w:rPr>
                    <w:t>Kahoot</w:t>
                  </w:r>
                  <w:proofErr w:type="spellEnd"/>
                  <w:r w:rsidRPr="00EF5C2D">
                    <w:rPr>
                      <w:rFonts w:ascii="Arial" w:hAnsi="Arial" w:cs="Arial"/>
                      <w:sz w:val="20"/>
                      <w:szCs w:val="20"/>
                    </w:rPr>
                    <w:t xml:space="preserve"> kvizovi i/ili pitanja za diskusiju – pitanja u području kreditnih institucija.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Društva za osiguranje: rizici i</w:t>
                  </w:r>
                </w:p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pretpostavke osiguranja, životna i neživotna osiguranja.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Društva za osiguranje u Republici</w:t>
                  </w:r>
                </w:p>
                <w:p w:rsidR="008766EE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Hrvatskoj.</w:t>
                  </w:r>
                </w:p>
                <w:p w:rsidR="002555BF" w:rsidRDefault="002555BF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555BF" w:rsidRPr="00C00B6B" w:rsidRDefault="002555BF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5C2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Studije slučaja</w:t>
                  </w:r>
                  <w:r w:rsidR="00EF5C2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Mirovinski fondovi: uloga i vrste</w:t>
                  </w:r>
                </w:p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mirovinskih planova. Investicijski</w:t>
                  </w:r>
                </w:p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fondovi: ciljevi, otvoreni i zatvoreni, društava za upravljanje.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Mirovinski fondovi u Republici Hrvatskoj.</w:t>
                  </w:r>
                </w:p>
                <w:p w:rsidR="003D769E" w:rsidRPr="00C00B6B" w:rsidRDefault="003D769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Investicijski fondovi u Republici</w:t>
                  </w:r>
                </w:p>
                <w:p w:rsidR="008766EE" w:rsidRPr="00C00B6B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Hrvatskoj</w:t>
                  </w:r>
                </w:p>
                <w:p w:rsidR="0090224F" w:rsidRPr="00C00B6B" w:rsidRDefault="0090224F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6384A" w:rsidRPr="00C00B6B" w:rsidRDefault="00E01F16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Zadaci</w:t>
                  </w:r>
                  <w:r w:rsidR="00F6384A"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 u vezi izračuna vrijednost investicijskih fondova.</w:t>
                  </w:r>
                </w:p>
                <w:p w:rsidR="0090224F" w:rsidRPr="00C00B6B" w:rsidRDefault="0090224F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0224F" w:rsidRPr="00C00B6B" w:rsidRDefault="00124C36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5C2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Studije slučaja</w:t>
                  </w:r>
                  <w:r w:rsidR="00EF5C2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Novčano tržište: funkcije,</w:t>
                  </w:r>
                </w:p>
                <w:p w:rsidR="008766EE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sudionici, instrumenti.</w:t>
                  </w:r>
                </w:p>
                <w:p w:rsidR="00C11557" w:rsidRDefault="00C11557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11557" w:rsidRPr="00C00B6B" w:rsidRDefault="00C11557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41984">
                    <w:rPr>
                      <w:rFonts w:ascii="Arial" w:hAnsi="Arial" w:cs="Arial"/>
                      <w:sz w:val="20"/>
                      <w:szCs w:val="20"/>
                    </w:rPr>
                    <w:t>Devizno tržište.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Instrumenti novčanog tržišta.</w:t>
                  </w:r>
                </w:p>
                <w:p w:rsidR="00CB59AF" w:rsidRPr="00C00B6B" w:rsidRDefault="00CB59AF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4029B0" w:rsidRPr="00C41984" w:rsidRDefault="004029B0" w:rsidP="004029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41984">
                    <w:rPr>
                      <w:rFonts w:ascii="Arial" w:hAnsi="Arial" w:cs="Arial"/>
                      <w:sz w:val="20"/>
                      <w:szCs w:val="20"/>
                    </w:rPr>
                    <w:t>Transakcije na deviznim tržištima.</w:t>
                  </w:r>
                </w:p>
                <w:p w:rsidR="00C11557" w:rsidRPr="00C41984" w:rsidRDefault="004029B0" w:rsidP="00CB59A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41984">
                    <w:rPr>
                      <w:rFonts w:ascii="Arial" w:hAnsi="Arial" w:cs="Arial"/>
                      <w:sz w:val="20"/>
                      <w:szCs w:val="20"/>
                    </w:rPr>
                    <w:t xml:space="preserve">– zašto su tečajevi promjenjivi? </w:t>
                  </w:r>
                </w:p>
                <w:p w:rsidR="00CB59AF" w:rsidRPr="00C00B6B" w:rsidRDefault="00CB59AF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Tržište kapitala: značenja i glavne funkcije. Primarna i sekundarna tržišta kapitala.</w:t>
                  </w:r>
                </w:p>
                <w:p w:rsidR="00C00B6B" w:rsidRPr="00C00B6B" w:rsidRDefault="00C00B6B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Tržišta obveznica.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FE3C8D" w:rsidRPr="00C00B6B" w:rsidRDefault="003D769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Hrvatsko tržište kapitala.</w:t>
                  </w:r>
                </w:p>
                <w:p w:rsidR="003D769E" w:rsidRPr="00C00B6B" w:rsidRDefault="003D769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063A2" w:rsidRPr="00C00B6B" w:rsidRDefault="00FE3C8D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Kahoot</w:t>
                  </w:r>
                  <w:proofErr w:type="spellEnd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 kvizovi i/ili pitanja za diskusiju - pitanja u području tržišta kapitala.</w:t>
                  </w:r>
                </w:p>
                <w:p w:rsidR="00FE3C8D" w:rsidRPr="00C00B6B" w:rsidRDefault="00FE3C8D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E3C8D" w:rsidRPr="00C00B6B" w:rsidRDefault="00E01F16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Zadaci</w:t>
                  </w:r>
                  <w:r w:rsidR="00E063A2"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 u području izračuna vrijednosti i prinosa n</w:t>
                  </w:r>
                  <w:r w:rsidR="00C00B6B">
                    <w:rPr>
                      <w:rFonts w:ascii="Arial" w:hAnsi="Arial" w:cs="Arial"/>
                      <w:sz w:val="20"/>
                      <w:szCs w:val="20"/>
                    </w:rPr>
                    <w:t>a instrumente tržišta obveznica.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766EE" w:rsidRPr="00C00B6B" w:rsidRDefault="00C00B6B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lastRenderedPageBreak/>
                    <w:t>Tržišta dionica.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5D2D32" w:rsidRPr="00C00B6B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Zadaci u području procjene vrijednosti dionica.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8766EE" w:rsidRPr="00C00B6B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C00B6B" w:rsidRPr="00C00B6B" w:rsidRDefault="00C00B6B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Tržišta derivativnih instrumenata.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C00B6B" w:rsidRPr="00C00B6B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C00B6B" w:rsidRPr="00C00B6B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Primjeri </w:t>
                  </w:r>
                  <w:proofErr w:type="spellStart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forward</w:t>
                  </w:r>
                  <w:proofErr w:type="spellEnd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futures</w:t>
                  </w:r>
                  <w:proofErr w:type="spellEnd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, opcijskih i </w:t>
                  </w:r>
                  <w:proofErr w:type="spellStart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swaps</w:t>
                  </w:r>
                  <w:proofErr w:type="spellEnd"/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 xml:space="preserve"> transakcija.</w:t>
                  </w:r>
                </w:p>
                <w:p w:rsidR="00C00B6B" w:rsidRPr="00C00B6B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00B6B" w:rsidRPr="00C00B6B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Zadaci u području izračuna vrijednosti i prinosa na derivativne instrumente te simulacija strategija trgovanja na primjerima.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C00B6B" w:rsidRPr="00C00B6B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0B6B" w:rsidRPr="00C00B6B" w:rsidTr="00C00B6B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C00B6B" w:rsidRPr="00C00B6B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Stabilnost financijskog sustava.</w:t>
                  </w:r>
                </w:p>
                <w:p w:rsidR="00C00B6B" w:rsidRPr="00C00B6B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Regulacija i nadzor financijskog</w:t>
                  </w:r>
                </w:p>
                <w:p w:rsidR="00C00B6B" w:rsidRPr="00C00B6B" w:rsidRDefault="00C00B6B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sustava.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C00B6B" w:rsidRPr="00C00B6B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C00B6B" w:rsidRPr="00C00B6B" w:rsidRDefault="00C00B6B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Financijske krize - pregled kroz povijest i objašnjenje uzroka te utjecaj na odabrane zemlje.</w:t>
                  </w: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C00B6B" w:rsidRPr="00C00B6B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0B6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8766EE" w:rsidRPr="00C00B6B" w:rsidRDefault="008766EE" w:rsidP="00EE65C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B6B" w:rsidRPr="00C00B6B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766EE" w:rsidRPr="00C00B6B" w:rsidRDefault="004415E8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C00B6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C00B6B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8766EE" w:rsidRPr="00C00B6B" w:rsidRDefault="004415E8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C00B6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C00B6B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="008766EE"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:rsidR="008766EE" w:rsidRPr="00C00B6B" w:rsidRDefault="004415E8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C00B6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C00B6B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vježbe</w:t>
            </w:r>
            <w:r w:rsidR="008766EE"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00B6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00B6B">
              <w:rPr>
                <w:rFonts w:ascii="Arial" w:hAnsi="Arial" w:cs="Arial"/>
                <w:sz w:val="20"/>
                <w:szCs w:val="20"/>
              </w:rPr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C00B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00B6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00B6B" w:rsidRPr="00C00B6B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00B6B" w:rsidRPr="00C00B6B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1E760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Obveza studenata za stjecanje prava na potpis je redovito pohađanje nastave (</w:t>
            </w:r>
            <w:r w:rsidR="002B67B4" w:rsidRPr="00C00B6B">
              <w:rPr>
                <w:rFonts w:ascii="Arial" w:hAnsi="Arial" w:cs="Arial"/>
                <w:sz w:val="20"/>
                <w:szCs w:val="20"/>
              </w:rPr>
              <w:t xml:space="preserve">za redovite studente: </w:t>
            </w:r>
            <w:r w:rsidRPr="00C00B6B">
              <w:rPr>
                <w:rFonts w:ascii="Arial" w:hAnsi="Arial" w:cs="Arial"/>
                <w:sz w:val="20"/>
                <w:szCs w:val="20"/>
              </w:rPr>
              <w:t>minimalno 70% predavanja i 70% vježbi</w:t>
            </w:r>
            <w:r w:rsidR="002B67B4" w:rsidRPr="00C00B6B">
              <w:rPr>
                <w:rFonts w:ascii="Arial" w:hAnsi="Arial" w:cs="Arial"/>
                <w:sz w:val="20"/>
                <w:szCs w:val="20"/>
              </w:rPr>
              <w:t>; za izvanredne studente: polovica od uvjeta definiranog za redovite studente</w:t>
            </w:r>
            <w:r w:rsidRPr="00C00B6B">
              <w:rPr>
                <w:rFonts w:ascii="Arial" w:hAnsi="Arial" w:cs="Arial"/>
                <w:sz w:val="20"/>
                <w:szCs w:val="20"/>
              </w:rPr>
              <w:t>).</w:t>
            </w:r>
            <w:r w:rsidR="002B67B4" w:rsidRPr="00C00B6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00B6B" w:rsidRPr="00C00B6B" w:rsidTr="00EE65C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C00B6B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41337F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0,5-</w:t>
            </w:r>
            <w:r w:rsidR="008766EE"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411324"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00B6B" w:rsidRPr="00C00B6B" w:rsidTr="00EE65C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00B6B" w:rsidRPr="00C00B6B" w:rsidTr="00EE65C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766EE" w:rsidRPr="00C00B6B" w:rsidRDefault="0041337F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  <w:r w:rsidR="00411324"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00B6B" w:rsidRPr="00C00B6B" w:rsidTr="00EE65C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4*</w:t>
            </w:r>
            <w:r w:rsidR="00411324"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00B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00B6B">
              <w:rPr>
                <w:rFonts w:ascii="Arial" w:hAnsi="Arial" w:cs="Arial"/>
                <w:sz w:val="20"/>
                <w:szCs w:val="20"/>
              </w:rPr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00B6B">
              <w:rPr>
                <w:rFonts w:ascii="Arial" w:hAnsi="Arial" w:cs="Arial"/>
                <w:sz w:val="20"/>
                <w:szCs w:val="20"/>
              </w:rPr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00B6B">
              <w:rPr>
                <w:rFonts w:ascii="Arial" w:hAnsi="Arial" w:cs="Arial"/>
                <w:sz w:val="20"/>
                <w:szCs w:val="20"/>
              </w:rPr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00B6B" w:rsidRPr="00C00B6B" w:rsidTr="00EE65C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4*</w:t>
            </w:r>
            <w:r w:rsidR="00411324" w:rsidRPr="00C00B6B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00B6B">
              <w:rPr>
                <w:rFonts w:ascii="Arial" w:hAnsi="Arial" w:cs="Arial"/>
                <w:sz w:val="20"/>
                <w:szCs w:val="20"/>
              </w:rPr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00B6B">
              <w:rPr>
                <w:rFonts w:ascii="Arial" w:hAnsi="Arial" w:cs="Arial"/>
                <w:sz w:val="20"/>
                <w:szCs w:val="20"/>
              </w:rPr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00B6B">
              <w:rPr>
                <w:rFonts w:ascii="Arial" w:hAnsi="Arial" w:cs="Arial"/>
                <w:sz w:val="20"/>
                <w:szCs w:val="20"/>
              </w:rPr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00B6B" w:rsidRPr="00C00B6B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6EE" w:rsidRPr="00C00B6B" w:rsidRDefault="008766EE" w:rsidP="00FB153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Tijekom </w:t>
            </w:r>
            <w:r w:rsidR="001E7609" w:rsidRPr="00C00B6B">
              <w:rPr>
                <w:rFonts w:ascii="Arial" w:hAnsi="Arial" w:cs="Arial"/>
                <w:sz w:val="20"/>
                <w:szCs w:val="20"/>
              </w:rPr>
              <w:t>semestra</w:t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 bit će organizirana dva kolokvija. </w:t>
            </w:r>
            <w:r w:rsidR="001E7609" w:rsidRPr="00C00B6B">
              <w:rPr>
                <w:rFonts w:ascii="Arial" w:hAnsi="Arial" w:cs="Arial"/>
                <w:sz w:val="20"/>
                <w:szCs w:val="20"/>
              </w:rPr>
              <w:t xml:space="preserve">Prvom kolokviju mogu pristupiti svi studenti upisani na predmet. </w:t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Uvjet za pristupanje drugom kolokviju je pozitivno ocijenjen prvi kolokvij. Ukupna ocjena predstavlja srednju vrijednost (pozitivnih) ocjena ostvarenih na oba kolokvija. Alternativno, studenti mogu ostvariti ocjenu putem </w:t>
            </w:r>
            <w:r w:rsidR="0012314C">
              <w:rPr>
                <w:rFonts w:ascii="Arial" w:hAnsi="Arial" w:cs="Arial"/>
                <w:sz w:val="20"/>
                <w:szCs w:val="20"/>
              </w:rPr>
              <w:t>pisanog</w:t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 ispita tijekom ispitnog roka. </w:t>
            </w:r>
          </w:p>
          <w:p w:rsidR="001E7609" w:rsidRPr="00C00B6B" w:rsidRDefault="001E7609" w:rsidP="00FB153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B2F2A" w:rsidRDefault="00BB2F2A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F27">
              <w:rPr>
                <w:rFonts w:ascii="Arial" w:hAnsi="Arial" w:cs="Arial"/>
                <w:color w:val="FF0000"/>
                <w:sz w:val="20"/>
                <w:szCs w:val="20"/>
              </w:rPr>
              <w:t>Pisane provjere z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nanja sastoje se od 10 pitanja. </w:t>
            </w:r>
            <w:r w:rsidRPr="00372F27">
              <w:rPr>
                <w:rFonts w:ascii="Arial" w:hAnsi="Arial" w:cs="Arial"/>
                <w:color w:val="FF0000"/>
                <w:sz w:val="20"/>
                <w:szCs w:val="20"/>
              </w:rPr>
              <w:t xml:space="preserve">Točan odgovor vrednuje se s 10 bodova. Bodovni pragovi i odgovarajuće ocjene za pisane provjere znanja: 0-59 bodova = nedovoljan (1); 60-69 bodova = dovoljan (2); 70-79 bodova = dobar (3); 80-89 bodova = vrlo dobar (4) i 90-100 bodova = izvrstan (5). </w:t>
            </w:r>
          </w:p>
          <w:p w:rsidR="00A95D95" w:rsidRPr="00C00B6B" w:rsidRDefault="00A95D95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57C15" w:rsidRPr="00C00B6B" w:rsidRDefault="001E7609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I</w:t>
            </w:r>
            <w:r w:rsidR="00BB2F2A">
              <w:rPr>
                <w:rFonts w:ascii="Arial" w:hAnsi="Arial" w:cs="Arial"/>
                <w:sz w:val="20"/>
                <w:szCs w:val="20"/>
              </w:rPr>
              <w:t>zrada i i</w:t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zlaganje </w:t>
            </w:r>
            <w:r w:rsidR="00BB2F2A">
              <w:rPr>
                <w:rFonts w:ascii="Arial" w:hAnsi="Arial" w:cs="Arial"/>
                <w:sz w:val="20"/>
                <w:szCs w:val="20"/>
              </w:rPr>
              <w:t xml:space="preserve">seminarskog rada </w:t>
            </w:r>
            <w:r w:rsidRPr="00C00B6B">
              <w:rPr>
                <w:rFonts w:ascii="Arial" w:hAnsi="Arial" w:cs="Arial"/>
                <w:sz w:val="20"/>
                <w:szCs w:val="20"/>
              </w:rPr>
              <w:t>vrednuje se do 10 bodova.</w:t>
            </w:r>
          </w:p>
          <w:p w:rsidR="00411324" w:rsidRPr="00C00B6B" w:rsidRDefault="00411324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57C15" w:rsidRPr="00C00B6B" w:rsidRDefault="00411324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*Student može izraditi i izložiti seminarski rad</w:t>
            </w:r>
            <w:r w:rsidR="00A46D3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766EE" w:rsidRPr="00C00B6B" w:rsidRDefault="008766EE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*</w:t>
            </w:r>
            <w:r w:rsidR="008738DC" w:rsidRPr="00C00B6B">
              <w:rPr>
                <w:rFonts w:ascii="Arial" w:hAnsi="Arial" w:cs="Arial"/>
                <w:sz w:val="20"/>
                <w:szCs w:val="20"/>
              </w:rPr>
              <w:t>*</w:t>
            </w:r>
            <w:r w:rsidRPr="00C00B6B">
              <w:rPr>
                <w:rFonts w:ascii="Arial" w:hAnsi="Arial" w:cs="Arial"/>
                <w:sz w:val="20"/>
                <w:szCs w:val="20"/>
              </w:rPr>
              <w:t>Student koji ostvari pozitivnu ocjenu iz prvog i drugog kolokvija, ne treba pristupiti završnom pisanom ispitu.</w:t>
            </w:r>
          </w:p>
          <w:p w:rsidR="008827F9" w:rsidRPr="00C00B6B" w:rsidRDefault="008827F9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B6B" w:rsidRPr="00C00B6B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0B6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0B6B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0B6B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00B6B" w:rsidRPr="00C00B6B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6EE" w:rsidRPr="00C00B6B" w:rsidRDefault="00CD5F3A" w:rsidP="00E50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56010B" w:rsidRPr="00C00B6B">
              <w:rPr>
                <w:rFonts w:ascii="Arial" w:hAnsi="Arial" w:cs="Arial"/>
                <w:sz w:val="20"/>
                <w:szCs w:val="20"/>
              </w:rPr>
              <w:t>Kovač, D. (</w:t>
            </w:r>
            <w:r w:rsidR="0056010B" w:rsidRPr="00E50BC4">
              <w:rPr>
                <w:rFonts w:ascii="Arial" w:hAnsi="Arial" w:cs="Arial"/>
                <w:color w:val="FF0000"/>
                <w:sz w:val="20"/>
                <w:szCs w:val="20"/>
              </w:rPr>
              <w:t>201</w:t>
            </w:r>
            <w:r w:rsidR="00E50BC4" w:rsidRPr="00E50BC4"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="0056010B" w:rsidRPr="00E50BC4">
              <w:rPr>
                <w:rFonts w:ascii="Arial" w:hAnsi="Arial" w:cs="Arial"/>
                <w:color w:val="FF0000"/>
                <w:sz w:val="20"/>
                <w:szCs w:val="20"/>
              </w:rPr>
              <w:t>.-20</w:t>
            </w:r>
            <w:r w:rsidR="00E50BC4" w:rsidRPr="00E50BC4">
              <w:rPr>
                <w:rFonts w:ascii="Arial" w:hAnsi="Arial" w:cs="Arial"/>
                <w:color w:val="FF0000"/>
                <w:sz w:val="20"/>
                <w:szCs w:val="20"/>
              </w:rPr>
              <w:t>20</w:t>
            </w:r>
            <w:r w:rsidR="00187AA7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="0056010B" w:rsidRPr="00C00B6B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56010B" w:rsidRPr="00C00B6B">
              <w:rPr>
                <w:rFonts w:ascii="Arial" w:hAnsi="Arial" w:cs="Arial"/>
                <w:i/>
                <w:sz w:val="20"/>
                <w:szCs w:val="20"/>
              </w:rPr>
              <w:t>Financijske institucije i tržišta,</w:t>
            </w:r>
            <w:r w:rsidR="0056010B" w:rsidRPr="00C00B6B">
              <w:rPr>
                <w:rFonts w:ascii="Arial" w:hAnsi="Arial" w:cs="Arial"/>
                <w:sz w:val="20"/>
                <w:szCs w:val="20"/>
              </w:rPr>
              <w:t xml:space="preserve"> nastavni materijali</w:t>
            </w:r>
            <w:r w:rsidR="0056010B" w:rsidRPr="00C00B6B">
              <w:t xml:space="preserve"> </w:t>
            </w:r>
            <w:r w:rsidR="0056010B" w:rsidRPr="00C00B6B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="0056010B" w:rsidRPr="00C00B6B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56010B" w:rsidRPr="00C00B6B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B130F" w:rsidRPr="00C00B6B" w:rsidRDefault="002B130F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130F" w:rsidRPr="00C00B6B" w:rsidRDefault="002B130F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766EE" w:rsidRPr="00C00B6B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6EE" w:rsidRPr="00C00B6B" w:rsidRDefault="00C0370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00B6B" w:rsidRPr="00C00B6B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026" w:rsidRPr="00C00B6B" w:rsidRDefault="003B1026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026" w:rsidRPr="00C00B6B" w:rsidRDefault="003B1026" w:rsidP="00EC2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50BC4">
              <w:rPr>
                <w:rFonts w:ascii="Arial" w:hAnsi="Arial" w:cs="Arial"/>
                <w:color w:val="FF0000"/>
                <w:sz w:val="20"/>
                <w:szCs w:val="20"/>
              </w:rPr>
              <w:t>Mishk</w:t>
            </w:r>
            <w:r w:rsidR="00E50BC4" w:rsidRPr="00E50BC4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 w:rsidR="00E50BC4" w:rsidRPr="00E50BC4">
              <w:rPr>
                <w:rFonts w:ascii="Arial" w:hAnsi="Arial" w:cs="Arial"/>
                <w:color w:val="FF0000"/>
                <w:sz w:val="20"/>
                <w:szCs w:val="20"/>
              </w:rPr>
              <w:t xml:space="preserve">, F. S., </w:t>
            </w:r>
            <w:proofErr w:type="spellStart"/>
            <w:r w:rsidR="00E50BC4" w:rsidRPr="00E50BC4">
              <w:rPr>
                <w:rFonts w:ascii="Arial" w:hAnsi="Arial" w:cs="Arial"/>
                <w:color w:val="FF0000"/>
                <w:sz w:val="20"/>
                <w:szCs w:val="20"/>
              </w:rPr>
              <w:t>Eakins</w:t>
            </w:r>
            <w:proofErr w:type="spellEnd"/>
            <w:r w:rsidR="00E50BC4" w:rsidRPr="00E50BC4">
              <w:rPr>
                <w:rFonts w:ascii="Arial" w:hAnsi="Arial" w:cs="Arial"/>
                <w:color w:val="FF0000"/>
                <w:sz w:val="20"/>
                <w:szCs w:val="20"/>
              </w:rPr>
              <w:t>, S. G., (2019.</w:t>
            </w:r>
            <w:r w:rsidRPr="00E50BC4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  <w:r w:rsidRPr="00E50BC4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Financijska tržišta </w:t>
            </w:r>
            <w:r w:rsidR="00E50BC4" w:rsidRPr="00E50BC4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i</w:t>
            </w:r>
            <w:r w:rsidRPr="00E50BC4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institucije</w:t>
            </w:r>
            <w:r w:rsidRPr="00E50BC4">
              <w:rPr>
                <w:rFonts w:ascii="Arial" w:hAnsi="Arial" w:cs="Arial"/>
                <w:color w:val="FF0000"/>
                <w:sz w:val="20"/>
                <w:szCs w:val="20"/>
              </w:rPr>
              <w:t>, Mate,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026" w:rsidRPr="00C00B6B" w:rsidRDefault="0081187A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5C2D">
              <w:rPr>
                <w:rFonts w:ascii="Arial" w:hAnsi="Arial" w:cs="Arial"/>
                <w:color w:val="FF0000"/>
                <w:sz w:val="20"/>
                <w:szCs w:val="20"/>
              </w:rPr>
              <w:t>13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026" w:rsidRPr="00C00B6B" w:rsidRDefault="003B1026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B6B" w:rsidRPr="00C00B6B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6EE" w:rsidRPr="00C00B6B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B6B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C00B6B">
              <w:rPr>
                <w:rFonts w:ascii="Arial" w:hAnsi="Arial" w:cs="Arial"/>
                <w:sz w:val="20"/>
                <w:szCs w:val="20"/>
              </w:rPr>
              <w:t xml:space="preserve">, D., (2000.), </w:t>
            </w:r>
            <w:r w:rsidRPr="00C00B6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Tržište kapitala</w:t>
            </w:r>
            <w:r w:rsidRPr="00C00B6B">
              <w:rPr>
                <w:rFonts w:ascii="Arial" w:hAnsi="Arial" w:cs="Arial"/>
                <w:sz w:val="20"/>
                <w:szCs w:val="20"/>
              </w:rPr>
              <w:t>, Ekonomski fakultet, Split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00B6B">
              <w:rPr>
                <w:rFonts w:ascii="Arial" w:hAnsi="Arial" w:cs="Arial"/>
                <w:sz w:val="20"/>
                <w:szCs w:val="20"/>
              </w:rPr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00B6B" w:rsidRPr="00C00B6B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8766EE" w:rsidRPr="00C00B6B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35C7" w:rsidRPr="00C00B6B" w:rsidRDefault="00C235C7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Čihák</w:t>
            </w:r>
            <w:proofErr w:type="spellEnd"/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Demirgüç-Kunt</w:t>
            </w:r>
            <w:proofErr w:type="spellEnd"/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 xml:space="preserve">, A., </w:t>
            </w:r>
            <w:proofErr w:type="spellStart"/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Feyen</w:t>
            </w:r>
            <w:proofErr w:type="spellEnd"/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 xml:space="preserve">, E. and Levine, R. (2012): </w:t>
            </w:r>
            <w:r w:rsidRPr="00C00B6B">
              <w:rPr>
                <w:rFonts w:ascii="Arial" w:hAnsi="Arial" w:cs="Arial"/>
                <w:i/>
                <w:sz w:val="20"/>
                <w:szCs w:val="20"/>
                <w:lang w:val="en-GB"/>
              </w:rPr>
              <w:t>Benchmarking Financial Systems Around the World</w:t>
            </w: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, Policy Research Working Paper 6175, World Bank</w:t>
            </w:r>
          </w:p>
          <w:p w:rsidR="008939C3" w:rsidRPr="00C00B6B" w:rsidRDefault="008939C3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939C3" w:rsidRPr="00C00B6B" w:rsidRDefault="008939C3" w:rsidP="00893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 xml:space="preserve">De </w:t>
            </w:r>
            <w:proofErr w:type="spellStart"/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Haan</w:t>
            </w:r>
            <w:proofErr w:type="spellEnd"/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 xml:space="preserve"> J., </w:t>
            </w:r>
            <w:proofErr w:type="spellStart"/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Oosterloo</w:t>
            </w:r>
            <w:proofErr w:type="spellEnd"/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 xml:space="preserve">, S., </w:t>
            </w:r>
            <w:proofErr w:type="spellStart"/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Schoenmaker</w:t>
            </w:r>
            <w:proofErr w:type="spellEnd"/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 xml:space="preserve">, D. (2012) </w:t>
            </w:r>
            <w:r w:rsidRPr="00C00B6B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Markets and Institutions – A European Perspective</w:t>
            </w: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, Cambridge University Press Times</w:t>
            </w:r>
          </w:p>
          <w:p w:rsidR="008827F9" w:rsidRPr="00C00B6B" w:rsidRDefault="008827F9" w:rsidP="00A810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67F34" w:rsidRPr="00C00B6B" w:rsidRDefault="00A67F34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 xml:space="preserve">Madura, F. (2015) </w:t>
            </w:r>
            <w:r w:rsidRPr="00C00B6B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Institutions and Markets</w:t>
            </w: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 xml:space="preserve">, Thomson South-Western, Mason </w:t>
            </w:r>
          </w:p>
          <w:p w:rsidR="008827F9" w:rsidRPr="00C00B6B" w:rsidRDefault="008827F9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5712D" w:rsidRPr="00C00B6B" w:rsidRDefault="0085712D" w:rsidP="008571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 xml:space="preserve">Merton, R. C., Bodie, Z. A. (1995), </w:t>
            </w:r>
            <w:r w:rsidRPr="00C00B6B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Conceptual Framework for </w:t>
            </w:r>
            <w:proofErr w:type="spellStart"/>
            <w:r w:rsidRPr="00C00B6B">
              <w:rPr>
                <w:rFonts w:ascii="Arial" w:hAnsi="Arial" w:cs="Arial"/>
                <w:i/>
                <w:sz w:val="20"/>
                <w:szCs w:val="20"/>
                <w:lang w:val="en-GB"/>
              </w:rPr>
              <w:t>Analyzing</w:t>
            </w:r>
            <w:proofErr w:type="spellEnd"/>
            <w:r w:rsidRPr="00C00B6B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the Financial Environment</w:t>
            </w: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, in The Global Financial System - A Functional Perspective, (ed. Crane, D. B. et. al.), Harvard Business School Press</w:t>
            </w:r>
          </w:p>
          <w:p w:rsidR="008827F9" w:rsidRPr="00C00B6B" w:rsidRDefault="008827F9" w:rsidP="00E57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B1536" w:rsidRPr="00C00B6B" w:rsidRDefault="00FB1536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Mish</w:t>
            </w:r>
            <w:r w:rsidR="0003768D" w:rsidRPr="00C00B6B">
              <w:rPr>
                <w:rFonts w:ascii="Arial" w:hAnsi="Arial" w:cs="Arial"/>
                <w:sz w:val="20"/>
                <w:szCs w:val="20"/>
                <w:lang w:val="en-GB"/>
              </w:rPr>
              <w:t>kin F. S., Eakins, S. G. (2015)</w:t>
            </w: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C00B6B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Markets and Institutions</w:t>
            </w: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, Pearson</w:t>
            </w:r>
          </w:p>
          <w:p w:rsidR="008827F9" w:rsidRPr="00C00B6B" w:rsidRDefault="008827F9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57C15" w:rsidRPr="00C00B6B" w:rsidRDefault="008766EE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Saunde</w:t>
            </w:r>
            <w:r w:rsidR="0003768D" w:rsidRPr="00C00B6B">
              <w:rPr>
                <w:rFonts w:ascii="Arial" w:hAnsi="Arial" w:cs="Arial"/>
                <w:sz w:val="20"/>
                <w:szCs w:val="20"/>
              </w:rPr>
              <w:t xml:space="preserve">rs, A., </w:t>
            </w:r>
            <w:proofErr w:type="spellStart"/>
            <w:r w:rsidR="0003768D" w:rsidRPr="00C00B6B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="0003768D" w:rsidRPr="00C00B6B">
              <w:rPr>
                <w:rFonts w:ascii="Arial" w:hAnsi="Arial" w:cs="Arial"/>
                <w:sz w:val="20"/>
                <w:szCs w:val="20"/>
              </w:rPr>
              <w:t>, M. M., (2006.)</w:t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0B6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Financijska tržišta i institucije</w:t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00B6B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C00B6B">
              <w:rPr>
                <w:rFonts w:ascii="Arial" w:hAnsi="Arial" w:cs="Arial"/>
                <w:sz w:val="20"/>
                <w:szCs w:val="20"/>
              </w:rPr>
              <w:t>, Zagreb</w:t>
            </w:r>
          </w:p>
          <w:p w:rsidR="008827F9" w:rsidRPr="00C00B6B" w:rsidRDefault="008827F9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43131" w:rsidRPr="00C00B6B" w:rsidRDefault="00A43131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B6B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C00B6B">
              <w:rPr>
                <w:rFonts w:ascii="Arial" w:hAnsi="Arial" w:cs="Arial"/>
                <w:sz w:val="20"/>
                <w:szCs w:val="20"/>
              </w:rPr>
              <w:t xml:space="preserve">, D., </w:t>
            </w:r>
            <w:proofErr w:type="spellStart"/>
            <w:r w:rsidRPr="00C00B6B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C00B6B">
              <w:rPr>
                <w:rFonts w:ascii="Arial" w:hAnsi="Arial" w:cs="Arial"/>
                <w:sz w:val="20"/>
                <w:szCs w:val="20"/>
              </w:rPr>
              <w:t xml:space="preserve">, K., Ćurak, M. </w:t>
            </w:r>
            <w:r w:rsidR="001666CC" w:rsidRPr="00C00B6B">
              <w:rPr>
                <w:rFonts w:ascii="Arial" w:hAnsi="Arial" w:cs="Arial"/>
                <w:sz w:val="20"/>
                <w:szCs w:val="20"/>
              </w:rPr>
              <w:t xml:space="preserve">(2010.) </w:t>
            </w:r>
            <w:r w:rsidRPr="00C00B6B">
              <w:rPr>
                <w:rFonts w:ascii="Arial" w:hAnsi="Arial" w:cs="Arial"/>
                <w:i/>
                <w:sz w:val="20"/>
                <w:szCs w:val="20"/>
              </w:rPr>
              <w:t>Asimetrije informacija na kreditnom tržištu, u knjizi: Financije danas – dijagnoze i terapije</w:t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, (urednici: prof. dr. sc. Ljiljana </w:t>
            </w:r>
            <w:proofErr w:type="spellStart"/>
            <w:r w:rsidRPr="00C00B6B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C00B6B">
              <w:rPr>
                <w:rFonts w:ascii="Arial" w:hAnsi="Arial" w:cs="Arial"/>
                <w:sz w:val="20"/>
                <w:szCs w:val="20"/>
              </w:rPr>
              <w:t xml:space="preserve">, prof. dr. sc. Marijana Ivanov, prof. dr. sc. Mario </w:t>
            </w:r>
            <w:proofErr w:type="spellStart"/>
            <w:r w:rsidRPr="00C00B6B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  <w:r w:rsidRPr="00C00B6B">
              <w:rPr>
                <w:rFonts w:ascii="Arial" w:hAnsi="Arial" w:cs="Arial"/>
                <w:sz w:val="20"/>
                <w:szCs w:val="20"/>
              </w:rPr>
              <w:t>), Ekonomski fakultet Split, Ekonomski fakultet Zagreb, Split, str. 169-196</w:t>
            </w:r>
            <w:r w:rsidR="006E6470" w:rsidRPr="00C00B6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80135" w:rsidRPr="00C00B6B" w:rsidRDefault="00780135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0135" w:rsidRPr="00C00B6B" w:rsidRDefault="00780135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:rsidR="00C235C7" w:rsidRPr="00C00B6B" w:rsidRDefault="00C235C7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6BF9" w:rsidRPr="00C00B6B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iperveza"/>
                <w:rFonts w:ascii="Arial" w:hAnsi="Arial" w:cs="Arial"/>
                <w:color w:val="auto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Državni zavod za statistiku, </w:t>
            </w:r>
            <w:hyperlink r:id="rId5" w:history="1">
              <w:r w:rsidRPr="00C00B6B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https://www.dzs.hr/</w:t>
              </w:r>
            </w:hyperlink>
          </w:p>
          <w:p w:rsidR="008E0D26" w:rsidRPr="00C00B6B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6BF9" w:rsidRPr="00C00B6B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iperveza"/>
                <w:rFonts w:ascii="Arial" w:hAnsi="Arial" w:cs="Arial"/>
                <w:color w:val="auto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European</w:t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 Central Bank, </w:t>
            </w:r>
            <w:hyperlink r:id="rId6" w:history="1">
              <w:r w:rsidRPr="00C00B6B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https://www.ecb.europa.eu/home/html/index.en.html</w:t>
              </w:r>
            </w:hyperlink>
          </w:p>
          <w:p w:rsidR="008E0D26" w:rsidRPr="00C00B6B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iperveza"/>
                <w:rFonts w:ascii="Arial" w:hAnsi="Arial" w:cs="Arial"/>
                <w:color w:val="auto"/>
                <w:sz w:val="20"/>
                <w:szCs w:val="20"/>
              </w:rPr>
            </w:pPr>
          </w:p>
          <w:p w:rsidR="003369A5" w:rsidRPr="00C00B6B" w:rsidRDefault="003369A5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The European Insurance and Occupational Pensions Authority (EIOPA),</w:t>
            </w:r>
          </w:p>
          <w:p w:rsidR="003369A5" w:rsidRPr="00C00B6B" w:rsidRDefault="00067727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iperveza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hyperlink r:id="rId7" w:history="1">
              <w:r w:rsidR="003369A5" w:rsidRPr="00C00B6B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:rsidR="008E0D26" w:rsidRPr="00C00B6B" w:rsidRDefault="008E0D26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369A5" w:rsidRPr="00C00B6B" w:rsidRDefault="003369A5" w:rsidP="003369A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 xml:space="preserve">European Securities and Markets Authority (ESMA), </w:t>
            </w:r>
            <w:hyperlink r:id="rId8" w:history="1">
              <w:r w:rsidR="008E0D26" w:rsidRPr="00C00B6B">
                <w:rPr>
                  <w:rFonts w:ascii="Arial" w:hAnsi="Arial" w:cs="Arial"/>
                  <w:sz w:val="20"/>
                  <w:szCs w:val="20"/>
                  <w:lang w:val="en-GB"/>
                </w:rPr>
                <w:t>https://www.esma.europa.eu/supervision/supervision</w:t>
              </w:r>
            </w:hyperlink>
          </w:p>
          <w:p w:rsidR="008E0D26" w:rsidRPr="00C00B6B" w:rsidRDefault="008E0D26" w:rsidP="003369A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66BF9" w:rsidRPr="00C00B6B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iperveza"/>
                <w:rFonts w:ascii="Arial" w:hAnsi="Arial" w:cs="Arial"/>
                <w:color w:val="auto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9" w:history="1">
              <w:r w:rsidRPr="00C00B6B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:rsidR="008E0D26" w:rsidRPr="00C00B6B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6BF9" w:rsidRPr="00C00B6B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Hrvatska banka za obnovu i razvitak, </w:t>
            </w:r>
            <w:hyperlink r:id="rId10" w:history="1">
              <w:r w:rsidRPr="00C00B6B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https://www.hbor.hr/</w:t>
              </w:r>
            </w:hyperlink>
          </w:p>
          <w:p w:rsidR="008E0D26" w:rsidRPr="00C00B6B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6BF9" w:rsidRPr="00C00B6B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11" w:history="1">
              <w:r w:rsidRPr="00C00B6B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:rsidR="008E0D26" w:rsidRPr="00C00B6B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6BF9" w:rsidRPr="00C00B6B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iperveza"/>
                <w:rFonts w:ascii="Arial" w:hAnsi="Arial" w:cs="Arial"/>
                <w:color w:val="auto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12" w:history="1">
              <w:r w:rsidRPr="00C00B6B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:rsidR="008E0D26" w:rsidRPr="00C00B6B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66BF9" w:rsidRPr="00C00B6B" w:rsidRDefault="00D66BF9" w:rsidP="00D66BF9">
            <w:pPr>
              <w:tabs>
                <w:tab w:val="left" w:pos="2820"/>
              </w:tabs>
              <w:spacing w:after="0" w:line="240" w:lineRule="auto"/>
              <w:rPr>
                <w:rStyle w:val="Hiperveza"/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 xml:space="preserve">Narodne novine, </w:t>
            </w:r>
            <w:hyperlink r:id="rId13" w:history="1">
              <w:r w:rsidRPr="00C00B6B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https://www.nn.hr/</w:t>
              </w:r>
            </w:hyperlink>
          </w:p>
          <w:p w:rsidR="008E0D26" w:rsidRPr="00C00B6B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66BF9" w:rsidRPr="00C00B6B" w:rsidRDefault="00D66BF9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  <w:lang w:val="en-GB"/>
              </w:rPr>
              <w:t>World Bank, Financial Structure Database</w:t>
            </w:r>
            <w:r w:rsidRPr="00C00B6B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4" w:history="1">
              <w:r w:rsidRPr="00C00B6B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http://www.worldbank.org/en/publication/gfdr/data/financial-structure-database</w:t>
              </w:r>
            </w:hyperlink>
          </w:p>
          <w:p w:rsidR="008E0D26" w:rsidRPr="00C00B6B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80135" w:rsidRPr="00C00B6B" w:rsidRDefault="00D66BF9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Zagrebačka burza,</w:t>
            </w:r>
            <w:r w:rsidRPr="00C00B6B">
              <w:t xml:space="preserve"> </w:t>
            </w:r>
            <w:hyperlink r:id="rId15" w:history="1">
              <w:r w:rsidRPr="00C00B6B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http://zse.hr/</w:t>
              </w:r>
            </w:hyperlink>
          </w:p>
        </w:tc>
      </w:tr>
      <w:tr w:rsidR="00C00B6B" w:rsidRPr="00C00B6B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6EE" w:rsidRPr="00C00B6B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0B6B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8766EE" w:rsidRPr="00C00B6B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0B6B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8766EE" w:rsidRPr="00C00B6B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0B6B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8766EE" w:rsidRPr="00C00B6B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0B6B">
              <w:rPr>
                <w:rFonts w:ascii="Arial" w:hAnsi="Arial" w:cs="Arial"/>
                <w:bCs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:rsidR="008766EE" w:rsidRPr="00C00B6B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0B6B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00B6B" w:rsidRPr="00C00B6B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6EE" w:rsidRPr="00C00B6B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6EE" w:rsidRPr="00C00B6B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0B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0B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00B6B">
              <w:rPr>
                <w:rFonts w:ascii="Arial" w:hAnsi="Arial" w:cs="Arial"/>
                <w:sz w:val="20"/>
                <w:szCs w:val="20"/>
              </w:rPr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t> </w:t>
            </w:r>
            <w:r w:rsidRPr="00C00B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D637D6" w:rsidRPr="00C00B6B" w:rsidRDefault="00D637D6"/>
    <w:sectPr w:rsidR="00D637D6" w:rsidRPr="00C00B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84897"/>
    <w:multiLevelType w:val="hybridMultilevel"/>
    <w:tmpl w:val="28AEF8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6EE"/>
    <w:rsid w:val="00002527"/>
    <w:rsid w:val="0003768D"/>
    <w:rsid w:val="00067727"/>
    <w:rsid w:val="000D188B"/>
    <w:rsid w:val="0012314C"/>
    <w:rsid w:val="00124C36"/>
    <w:rsid w:val="001666CC"/>
    <w:rsid w:val="00184FFD"/>
    <w:rsid w:val="00187AA7"/>
    <w:rsid w:val="00196372"/>
    <w:rsid w:val="001E7609"/>
    <w:rsid w:val="002520B3"/>
    <w:rsid w:val="002555BF"/>
    <w:rsid w:val="002859A7"/>
    <w:rsid w:val="002B130F"/>
    <w:rsid w:val="002B16E0"/>
    <w:rsid w:val="002B304F"/>
    <w:rsid w:val="002B67B4"/>
    <w:rsid w:val="003369A5"/>
    <w:rsid w:val="003B1026"/>
    <w:rsid w:val="003D769E"/>
    <w:rsid w:val="004029B0"/>
    <w:rsid w:val="00411324"/>
    <w:rsid w:val="0041337F"/>
    <w:rsid w:val="004415E8"/>
    <w:rsid w:val="00451786"/>
    <w:rsid w:val="004D55D2"/>
    <w:rsid w:val="00515AF3"/>
    <w:rsid w:val="0056010B"/>
    <w:rsid w:val="005A732E"/>
    <w:rsid w:val="005B6A2F"/>
    <w:rsid w:val="005D2D32"/>
    <w:rsid w:val="00604D0F"/>
    <w:rsid w:val="006075BC"/>
    <w:rsid w:val="00617726"/>
    <w:rsid w:val="006210B1"/>
    <w:rsid w:val="00660973"/>
    <w:rsid w:val="00684A66"/>
    <w:rsid w:val="006A4679"/>
    <w:rsid w:val="006D73C6"/>
    <w:rsid w:val="006E6470"/>
    <w:rsid w:val="00730AEA"/>
    <w:rsid w:val="00780135"/>
    <w:rsid w:val="007A587E"/>
    <w:rsid w:val="007B0AED"/>
    <w:rsid w:val="007C7101"/>
    <w:rsid w:val="0081187A"/>
    <w:rsid w:val="008514D5"/>
    <w:rsid w:val="0085712D"/>
    <w:rsid w:val="008738DC"/>
    <w:rsid w:val="008766EE"/>
    <w:rsid w:val="008827F9"/>
    <w:rsid w:val="008939C3"/>
    <w:rsid w:val="008E0D26"/>
    <w:rsid w:val="0090224F"/>
    <w:rsid w:val="00935F43"/>
    <w:rsid w:val="00973F01"/>
    <w:rsid w:val="009F0E79"/>
    <w:rsid w:val="00A43131"/>
    <w:rsid w:val="00A46D33"/>
    <w:rsid w:val="00A67F34"/>
    <w:rsid w:val="00A810A5"/>
    <w:rsid w:val="00A81B2A"/>
    <w:rsid w:val="00A95D95"/>
    <w:rsid w:val="00BB2F2A"/>
    <w:rsid w:val="00C00B6B"/>
    <w:rsid w:val="00C02387"/>
    <w:rsid w:val="00C0370E"/>
    <w:rsid w:val="00C11557"/>
    <w:rsid w:val="00C235C7"/>
    <w:rsid w:val="00C41984"/>
    <w:rsid w:val="00C735A2"/>
    <w:rsid w:val="00CB59AF"/>
    <w:rsid w:val="00CD5F3A"/>
    <w:rsid w:val="00CF7FC6"/>
    <w:rsid w:val="00D54671"/>
    <w:rsid w:val="00D637D6"/>
    <w:rsid w:val="00D66BF9"/>
    <w:rsid w:val="00D92661"/>
    <w:rsid w:val="00DE0FD9"/>
    <w:rsid w:val="00DF1F9C"/>
    <w:rsid w:val="00E01F16"/>
    <w:rsid w:val="00E063A2"/>
    <w:rsid w:val="00E15284"/>
    <w:rsid w:val="00E36D32"/>
    <w:rsid w:val="00E50BC4"/>
    <w:rsid w:val="00E57C15"/>
    <w:rsid w:val="00EC2662"/>
    <w:rsid w:val="00EC294C"/>
    <w:rsid w:val="00ED1CAF"/>
    <w:rsid w:val="00EE488D"/>
    <w:rsid w:val="00EF5C2D"/>
    <w:rsid w:val="00F12D8A"/>
    <w:rsid w:val="00F22F96"/>
    <w:rsid w:val="00F31502"/>
    <w:rsid w:val="00F6384A"/>
    <w:rsid w:val="00F8337C"/>
    <w:rsid w:val="00FA799F"/>
    <w:rsid w:val="00FB04A6"/>
    <w:rsid w:val="00FB1536"/>
    <w:rsid w:val="00FB4E75"/>
    <w:rsid w:val="00FB4E82"/>
    <w:rsid w:val="00FE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2A4453-AF2A-4650-AEDB-0C4513B5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6E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766EE"/>
    <w:pPr>
      <w:ind w:left="720"/>
      <w:contextualSpacing/>
    </w:pPr>
  </w:style>
  <w:style w:type="paragraph" w:customStyle="1" w:styleId="FieldText">
    <w:name w:val="Field Text"/>
    <w:basedOn w:val="Normal"/>
    <w:rsid w:val="008766E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766EE"/>
    <w:rPr>
      <w:rFonts w:cs="Times New Roman"/>
      <w:b/>
      <w:bCs/>
    </w:rPr>
  </w:style>
  <w:style w:type="character" w:styleId="Hiperveza">
    <w:name w:val="Hyperlink"/>
    <w:basedOn w:val="Zadanifontodlomka"/>
    <w:uiPriority w:val="99"/>
    <w:unhideWhenUsed/>
    <w:rsid w:val="007801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ma.europa.eu/supervision/supervision" TargetMode="External"/><Relationship Id="rId13" Type="http://schemas.openxmlformats.org/officeDocument/2006/relationships/hyperlink" Target="https://www.nn.h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iopa.europa.eu/" TargetMode="External"/><Relationship Id="rId12" Type="http://schemas.openxmlformats.org/officeDocument/2006/relationships/hyperlink" Target="http://hub.hr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cb.europa.eu/home/html/index.en.html" TargetMode="External"/><Relationship Id="rId11" Type="http://schemas.openxmlformats.org/officeDocument/2006/relationships/hyperlink" Target="http://www.hnb.hr/" TargetMode="External"/><Relationship Id="rId5" Type="http://schemas.openxmlformats.org/officeDocument/2006/relationships/hyperlink" Target="https://www.dzs.hr/" TargetMode="External"/><Relationship Id="rId15" Type="http://schemas.openxmlformats.org/officeDocument/2006/relationships/hyperlink" Target="http://zse.hr/" TargetMode="External"/><Relationship Id="rId10" Type="http://schemas.openxmlformats.org/officeDocument/2006/relationships/hyperlink" Target="https://www.hbor.h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nb.hr/" TargetMode="External"/><Relationship Id="rId14" Type="http://schemas.openxmlformats.org/officeDocument/2006/relationships/hyperlink" Target="http://www.worldbank.org/en/publication/gfdr/data/financial-structure-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1534</Words>
  <Characters>8746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Katarina Sumić Milković</cp:lastModifiedBy>
  <cp:revision>2</cp:revision>
  <dcterms:created xsi:type="dcterms:W3CDTF">2020-02-24T13:20:00Z</dcterms:created>
  <dcterms:modified xsi:type="dcterms:W3CDTF">2020-02-24T13:20:00Z</dcterms:modified>
</cp:coreProperties>
</file>